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BB" w:rsidRPr="004E72BB" w:rsidRDefault="004E72BB" w:rsidP="004E72BB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r w:rsidRPr="004E72BB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Приказ Министерства здравоохранения Российской Федерации от 30.06.2016 г. № 441н "О порядке проведения медицинского освидетельствования на наличие медицинских противопоказаний к владению оружием и химико-токсикологических исследований наличия в организме человека наркотических средств, психотропных веществ и их метаболитов"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Зарегистрирован в Минюсте РФ 25 ноября 2016 г. Регистрационный N 44430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В соответствии со статьей 13 Федерального закона от 13 декабря 1996 г. N 150-ФЗ "Об оружии" (Собрание законодательства Российской Федерации, 1996, N 51, ст. 5681; 1999, N 47, ст. 5612; 2004, N 18, ст. 1683; 2009, N 30, ст. 3735; 2010, N 23, ст. 2793; 2011, N 1, ст. 10; </w:t>
      </w:r>
      <w:proofErr w:type="gram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2013, N 27, ст. 3477), подпунктами 5.2.74 и 5.2.199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</w:t>
      </w:r>
      <w:proofErr w:type="gram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proofErr w:type="gram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N 45, ст. 5822; 2014, N 12, ст. 1296; N 26, ст. 3577; N 30, ст. 4307; N 37, ст. 4969; 2015, N 2, ст. 491; N 12, ст. 1763; N 23, ст. 3333; 2016, N 2, ст. 325; N 9, ст. 1268), </w:t>
      </w:r>
      <w:r w:rsidRPr="004E72BB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приказываю:</w:t>
      </w:r>
      <w:proofErr w:type="gramEnd"/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Утвердить: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порядок проведения медицинского освидетельствования на наличие медицинских противопоказаний к владению оружием и химико-токсикологических исследований наличия в организме человека наркотических средств, психотропных веществ и их метаболитов согласно приложению N 1;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форму N 002-О/у "Медицинское заключение об отсутствии медицинских противопоказаний к владению оружием" согласно приложению N 2;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форму N 002-О/у-10 "Журнал регистрации выданных медицинских заключений об отсутствии медицинских противопоказаний к владению оружием" согласно приложению N 3;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форму N 003-О/у "Медицинское заключение об отсутствии в организме человека наркотических средств, психотропных веществ и их метаболитов" согласно приложению N 4.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Установить, что медицинское заключение об отсутствии медицинских противопоказаний к владению оружием является защищенной полиграфической продукцией уровня "В".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Признать утратившими силу: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приказ Министерства здравоохранения Российской Федерации от 11 сентября 2000 г. N 344 "О медицинском освидетельствовании граждан для выдачи лицензии на право приобретения оружия" (зарегистрирован Министерством юстиции Российской Федерации 10 октября 2000 г., регистрационный N 2415);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приказ Министерства здравоохранения и социального развития Российской Федерации от 12 июля 2010 г. N 512н "О внесении изменений в приказ Министерства здравоохранения Российской Федерации от 11 сентября 2000 г. N 344 "О медицинском освидетельствовании граждан для выдачи лицензий на право приобретения оружия" (зарегистрирован Министерством юстиции Российской Федерации 30 августа 2010 г., регистрационный N 18287).</w:t>
      </w:r>
      <w:proofErr w:type="gramEnd"/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Настоящий приказ вступает в силу с 1 января 2017 года.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Министр В. Скворцова</w:t>
      </w:r>
    </w:p>
    <w:p w:rsidR="004E72BB" w:rsidRPr="004E72BB" w:rsidRDefault="004E72BB" w:rsidP="004E72BB">
      <w:pPr>
        <w:spacing w:after="300" w:line="384" w:lineRule="atLeast"/>
        <w:jc w:val="righ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u w:val="single"/>
          <w:lang w:eastAsia="ru-RU"/>
        </w:rPr>
        <w:t>Приложение N 1</w:t>
      </w:r>
    </w:p>
    <w:p w:rsidR="004E72BB" w:rsidRPr="004E72BB" w:rsidRDefault="004E72BB" w:rsidP="004E72BB">
      <w:pPr>
        <w:spacing w:after="100" w:afterAutospacing="1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000000"/>
          <w:spacing w:val="3"/>
          <w:sz w:val="36"/>
          <w:szCs w:val="36"/>
          <w:lang w:eastAsia="ru-RU"/>
        </w:rPr>
      </w:pPr>
      <w:r w:rsidRPr="004E72BB">
        <w:rPr>
          <w:rFonts w:ascii="Arial" w:eastAsia="Times New Roman" w:hAnsi="Arial" w:cs="Arial"/>
          <w:b/>
          <w:bCs/>
          <w:color w:val="000000"/>
          <w:spacing w:val="3"/>
          <w:sz w:val="36"/>
          <w:szCs w:val="36"/>
          <w:lang w:eastAsia="ru-RU"/>
        </w:rPr>
        <w:t>Порядок проведения медицинского освидетельствования на наличие медицинских противопоказаний к владению оружием и химико-токсикологических исследований наличия в организме человека наркотических средств, психотропных веществ и их метаболитов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1. Настоящий порядок регулирует вопросы проведения медицинского освидетельствования на наличие медицинских противопоказаний к владению оружием (далее - медицинское освидетельствование) и химико-токсикологических исследований наличия в организме человека наркотических </w:t>
      </w: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средств, психотропных веществ и их метаболитов (далее - химико-токсикологические исследования).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Медицинское освидетельствование проводится в целях установления у гражданина Российской Федерации, намеревающегося владеть оружием, наличия (отсутствия) заболеваний, включенных в Перечень заболеваний, при наличии которых противопоказано владение оружием, утвержденный постановлением Правительства Российской Федерации от 19 февраля 2015 г. N 143</w:t>
      </w:r>
      <w:r w:rsidRPr="004E72BB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Химико-токсикологические исследования проводятся в целях обнаружения и последующей идентификации в образцах биологических объектов (моче) наркотических средств, психотропных веществ и их метаболитов.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Медицинское освидетельствование проводится в медицинских и иных организациях, осуществляющих медицинскую деятельность (далее - медицинские организации), независимо от их организационно-правовой формы, имеющих лицензию на осуществление медицинской деятельности, предусматривающей выполнение работ (услуг) по "медицинскому освидетельствованию на наличие медицинских противопоказаний к владению оружием", "офтальмологии".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5. Осмотр врачом-психиатром при проведении медицинского освидетельствования осуществляется в медицинской организации государственной или муниципальной систем здравоохранения по месту жительства (пребывания) гражданина Российской Федерации, проходящего медицинское освидетельствование (далее - </w:t>
      </w:r>
      <w:proofErr w:type="spell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освидетельствуемый</w:t>
      </w:r>
      <w:proofErr w:type="spell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), имеющей лицензию на осуществление медицинской деятельности, предусматривающей выполнение работ (услуг) по "психиатрии" и "психиатрическому освидетельствованию".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6. </w:t>
      </w:r>
      <w:proofErr w:type="gram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Осмотр врачом-психиатром-наркологом при проведении медицинского освидетельствования, а также качественное и количественное определение </w:t>
      </w:r>
      <w:proofErr w:type="spell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карбогидрат</w:t>
      </w:r>
      <w:proofErr w:type="spell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-дефицитного </w:t>
      </w:r>
      <w:proofErr w:type="spell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трансферрина</w:t>
      </w:r>
      <w:proofErr w:type="spell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(CDT) в сыворотке крови </w:t>
      </w:r>
      <w:proofErr w:type="spell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освидетельствуемого</w:t>
      </w:r>
      <w:proofErr w:type="spell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, осуществляются в медицинских организациях государственной или муниципальной систем здравоохранения по месту жительства (пребывания) </w:t>
      </w:r>
      <w:proofErr w:type="spell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освидетельствуемого</w:t>
      </w:r>
      <w:proofErr w:type="spell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, имеющих лицензию на осуществление медицинской деятельности, предусматривающей выполнение </w:t>
      </w: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работ (услуг) по "психиатрии-наркологии" и "лабораторной диагностике" либо "клинической лабораторной диагностике".</w:t>
      </w:r>
      <w:proofErr w:type="gramEnd"/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7. Медицинское освидетельствование включает в себя медицинские осмотры врачами-специалистами и лабораторное исследование в следующем объеме: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медицинский осмотр врачом-офтальмологом;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медицинский осмотр врачом-психиатром;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медицинский осмотр врачом-психиатром-наркологом;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качественное и количественное определение </w:t>
      </w:r>
      <w:proofErr w:type="spell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карбогидрат</w:t>
      </w:r>
      <w:proofErr w:type="spell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-дефицитного </w:t>
      </w:r>
      <w:proofErr w:type="spell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трансферрина</w:t>
      </w:r>
      <w:proofErr w:type="spell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(CDT) в сыворотке крови </w:t>
      </w:r>
      <w:proofErr w:type="spell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освидетельствуемого</w:t>
      </w:r>
      <w:proofErr w:type="spell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(при выявлении врачом-психиатром-наркологом симптомов и синдромов заболевания, при наличии которых противопоказано владение оружием).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8. </w:t>
      </w:r>
      <w:proofErr w:type="gram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Химико-токсикологические исследования проводятся в наркологических диспансерах (наркологических больницах) или иных медицинских организациях государственной или муниципальной системы здравоохранения по месту жительства (пребывания) </w:t>
      </w:r>
      <w:proofErr w:type="spell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освидетельствуемого</w:t>
      </w:r>
      <w:proofErr w:type="spell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имеющих лицензию на осуществление медицинской деятельности, предусматривающей выполнение работ (услуг) по "клинической лабораторной диагностике" или "судебно-медицинской экспертизе вещественных доказательств и исследованию биологических объектов (биохимической, генетической, медико-криминалистической, спектрографической, судебно-биологической, судебно-гистологической, судебно-химической, судебно-цитологической, химико-токсикологической)".</w:t>
      </w:r>
      <w:proofErr w:type="gramEnd"/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9. Медицинское освидетельствование и химико-токсикологические исследования осуществляются за счет средств граждан</w:t>
      </w:r>
      <w:proofErr w:type="gramStart"/>
      <w:r w:rsidRPr="004E72BB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proofErr w:type="gram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10. Химико-токсикологические исследования проводятся в два этапа: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предварительные химико-токсикологические исследования иммунохимическими методами с применением анализаторов, обеспечивающих регистрацию и количественную оценку результатов исследования путем сравнения полученного результата с калибровочной кривой;</w:t>
      </w:r>
      <w:proofErr w:type="gramEnd"/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подтверждающие химико-токсикологические исследования методами газовой и (или) жидкостной хроматографии с масс-спектрометрическим детектированием с помощью технических средств, обеспечивающих регистрацию и обработку результатов исследования путем сравнения полученного результата с данными электронных библиотек масс-спектров.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11. Предварительные химико-токсикологические исследования проводятся в срок не позднее 24 часов с момента отбора биологического объекта (мочи) в клинико-диагностической лаборатории или химико-токсикологической лаборатории медицинских организаций, указанных в пункте 8 настоящего Порядка.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12. Подтверждающие химико-токсикологические исследования проводятся в химико-токсикологических лабораториях медицинских организаций, указанных в пункте 8 настоящего Порядка.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13. Химико-токсикологическое исследование в обязательном порядке проводится на следующие химические вещества, включая их производные, метаболиты и аналоги: опиаты, растительные и синтетические </w:t>
      </w:r>
      <w:proofErr w:type="spell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каннабиноиды</w:t>
      </w:r>
      <w:proofErr w:type="spell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, </w:t>
      </w:r>
      <w:proofErr w:type="spell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фенилалкиламины</w:t>
      </w:r>
      <w:proofErr w:type="spell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(</w:t>
      </w:r>
      <w:proofErr w:type="spell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амфетамин</w:t>
      </w:r>
      <w:proofErr w:type="spell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, </w:t>
      </w:r>
      <w:proofErr w:type="spell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метамфетамин</w:t>
      </w:r>
      <w:proofErr w:type="spell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), синтетические </w:t>
      </w:r>
      <w:proofErr w:type="spell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катиноны</w:t>
      </w:r>
      <w:proofErr w:type="spell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, кокаин и </w:t>
      </w:r>
      <w:proofErr w:type="spell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метадон</w:t>
      </w:r>
      <w:proofErr w:type="spell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, </w:t>
      </w:r>
      <w:proofErr w:type="spell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бензодиазепины</w:t>
      </w:r>
      <w:proofErr w:type="spell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барбитураты.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Химико-токсикологическое исследование проводится на иные вещества, которые могут повлечь неблагоприятные последствия при деятельности, связанной с источником повышенной опасности.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14. Медицинский регистратор одной из медицинских организаций, указанных в пунктах 4 - 6 настоящего Порядка, в которую обратился </w:t>
      </w:r>
      <w:proofErr w:type="spell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освидетельствуемый</w:t>
      </w:r>
      <w:proofErr w:type="spell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для прохождения медицинского освидетельствования, на основании документа, удостоверяющего его личность: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подбирает (или заполняет) Медицинскую карту пациента, получающего медицинскую помощь в амбулаторных условиях (форма N 025/у)</w:t>
      </w:r>
      <w:r w:rsidRPr="004E72BB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, и выдает </w:t>
      </w:r>
      <w:proofErr w:type="spell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освидетельствуемому</w:t>
      </w:r>
      <w:proofErr w:type="spell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бланк медицинского заключения об отсутствии медицинских противопоказаний к владению оружием, форма которого предусмотрена приложением N 2 к настоящему приказу, с заполненными на основании документа, удостоверяющего личность </w:t>
      </w:r>
      <w:proofErr w:type="spell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освидетельствуемого</w:t>
      </w:r>
      <w:proofErr w:type="spell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строками 1 - 3;</w:t>
      </w:r>
      <w:proofErr w:type="gramEnd"/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 xml:space="preserve">информирует </w:t>
      </w:r>
      <w:proofErr w:type="spell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освидетельствуемого</w:t>
      </w:r>
      <w:proofErr w:type="spell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о перечне медицинских осмотров врачами-специалистами и лабораторном исследовании, которые необходимо пройти в рамках медицинского освидетельствования, и о необходимости прохождения химико-токсикологического исследования.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15. </w:t>
      </w:r>
      <w:proofErr w:type="gram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Направление на химико-токсикологическое исследование (учетная форма N 452/у-06) заполняется по форме и в соответствии с инструкцией, которые утверждены приказом Министерства здравоохранения и социального развития Российской Федерации от 27 января 2006 г. N 40 "Об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веществ" (зарегистрирован Министерством юстиции Российской Федерации 26</w:t>
      </w:r>
      <w:proofErr w:type="gram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февраля 2006 г., </w:t>
      </w:r>
      <w:proofErr w:type="gram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регистрационный</w:t>
      </w:r>
      <w:proofErr w:type="gram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N 7544), и выдается </w:t>
      </w:r>
      <w:proofErr w:type="spell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освидетельствуемому</w:t>
      </w:r>
      <w:proofErr w:type="spell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врачом-психиатром-наркологом в медицинской организации, указанной в пункте 6 настоящего Порядка.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16. Отбор образцов биологического объекта (мочи) для направления на химико-токсикологическое исследование производится в объеме не менее 30 мл в одноразовый контейнер для сбора мочи в туалетной комнате медицинской организации, указанной в пункте 6 настоящего Порядка.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17. В целях исключения фальсификации образца биологического объекта (мочи) в течение первых 5 минут после ее отбора проводится измерение: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температуры с помощью бесконтактного устройства с автоматической регистрацией результатов измерения (в норме температура должна быть в пределах 32,5 - 39,0 С);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рН с помощью рН-метра или универсальной индикаторной бумаги (в норме рН должен быть в интервале 4 - 8);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относительной плотности (в норме относительная плотность должна быть в пределах 1.008 - 1.025).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18. По окончании предварительного химико-токсикологического исследования в случае отсутствия в образце биологического объекта (моче) наркотических средств, психотропных веществ и их метаболитов, подтверждающее химико-токсикологическое исследование не проводится.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По окончании предварительного химико-токсикологического исследования в случае наличия в образце биологического объекта (моче) наркотических средств, психотропных веществ и их метаболитов и вне зависимости от их концентрации проводится подтверждающее химико-токсикологическое исследование. Срок доставки образца биологического объекта (мочи) в медицинскую организацию, проводящую подтверждающее химико-токсикологическое исследование, не должен превышать 10 рабочих дней с момента отбора образца биологического объекта (мочи).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19. Срок проведения подтверждающего химико-токсикологического исследования не должен превышать 3 рабочих дней с момента поступления образца биологического объекта (мочи) в химико-токсикологическую лабораторию.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20. Образцы биологических объектов (мочи) хранятся в химико-токсикологической лаборатории в течение 3 месяцев с момента проведения подтверждающих химико-токсикологических исследований, а полученные масс-спектры - в электронном виде в течение пяти лет.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21. </w:t>
      </w:r>
      <w:proofErr w:type="gram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Результаты химико-токсикологических исследований отражаются в справке о результатах химико-токсикологических исследований (учетная форма N 454/у-06), которая оформляется по форме и в порядке, утвержденным приказом Министерства здравоохранения и социального развития Российской Федерации от 27 января 2006 г. N 40 "Об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веществ" (зарегистрирован Министерством</w:t>
      </w:r>
      <w:proofErr w:type="gram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юстиции Российской Федерации 26 февраля 2006 г., регистрационный N 7544) и представляется в медицинскую организацию, направившую в химико-токсикологическую лабораторию образец биологического объекта (мочи).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По желанию </w:t>
      </w:r>
      <w:proofErr w:type="spell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освидетельствуемого</w:t>
      </w:r>
      <w:proofErr w:type="spell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в медицинской организации, указанной в пункте 6 настоящего Порядка, ему выдается копия справки о результатах химико-токсикологических исследований.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22. </w:t>
      </w:r>
      <w:proofErr w:type="gram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В случае отсутствия по результатам химико-токсикологического исследования в образце биологического объекта (моче) наркотических средств, психотропных веществ и их метаболитов врачом-психиатром-наркологом медицинской организации, указанной в пункте 6 настоящего Порядка, </w:t>
      </w: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оформляется медицинское заключение об отсутствии в организме человека наркотических средств, психотропных веществ и их метаболитов, форма которого предусмотрена приложением N 4 к настоящему приказу, в двух экземплярах.</w:t>
      </w:r>
      <w:proofErr w:type="gram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Один экземпляр указанного медицинского заключения выдается на руки </w:t>
      </w:r>
      <w:proofErr w:type="spell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освидетельствуемому</w:t>
      </w:r>
      <w:proofErr w:type="spell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второй экземпляр вносится врачом-психиатром-наркологом медицинской организации, указанной в пункте 6 настоящего Порядка, в Медицинскую карту пациента, получающего медицинскую помощь в амбулаторных условиях (форма N 025/у).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случае обнаружения в образце биологического объекта (моче) наркотических средств, психотропных веществ и их метаболитов медицинское заключение об отсутствии в организме человека наркотических средств, психотропных веществ и их метаболитов не оформляется.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23. </w:t>
      </w:r>
      <w:proofErr w:type="gram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В случае выявления в ходе осмотра врачом-психиатром у </w:t>
      </w:r>
      <w:proofErr w:type="spell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освидетельствуемого</w:t>
      </w:r>
      <w:proofErr w:type="spell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симптомов и синдромов заболевания, при наличии которого противопоказано владение оружием, </w:t>
      </w:r>
      <w:proofErr w:type="spell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освидетельствуемый</w:t>
      </w:r>
      <w:proofErr w:type="spell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направляется на психиатрическое освидетельствование врачебной комиссией медицинской организации, уполномоченной на то федеральным органом исполнительной власти в сфере здравоохранения или органом исполнительной власти субъекта Российской Федерации в сфере здравоохранения, в соответствии со статьей 6 Закона Российской Федерации от 2 июля 1992</w:t>
      </w:r>
      <w:proofErr w:type="gram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г. N 3185-1 "О психиатрической помощи и гарантиях прав граждан при ее оказании" (Ведомости Съезда народных депутатов Российской Федерации и Верховного Совета Российской Федерации, 1992, N 33, ст. 1913, 2013, N 48, ст. 6165).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При отказе </w:t>
      </w:r>
      <w:proofErr w:type="spell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освидетельствуемого</w:t>
      </w:r>
      <w:proofErr w:type="spell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от прохождения указанного психиатрического освидетельствования справка по результатам осмотра врачом-психиатром не выдается.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24. Справки по результатам осмотров врачом-психиатром, врачом-психиатром-наркологом и врачом-офтальмологом оформляются в соответствии с приказом Министерства здравоохранения и социального развития Российской Федерации от 2 мая 2012 г. N 441н "Об утверждении Порядка выдачи медицинскими организациями справок и медицинских заключений" (зарегистрирован Министерством юстиции Российской Федерации 29 мая 2012 г., регистрационный N 24366).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 xml:space="preserve">25. </w:t>
      </w:r>
      <w:proofErr w:type="gram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Результаты проведенных в рамках медицинского освидетельствования медицинских осмотров (включая справки по результатам осмотров врачом-психиатром, врачом-психиатром-наркологом и врачом-офтальмологом) и лабораторного исследования, а также обоснованный вывод о наличии (об отсутствии) медицинских противопоказаний к владению оружием вносятся врачом медицинской организации, указанной в пункте 14 настоящего Порядка, в Медицинскую карту пациента, получающего медицинскую помощь в амбулаторных условиях (форма N 025/у).</w:t>
      </w:r>
      <w:proofErr w:type="gramEnd"/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26. Медицинское заключение об отсутствии медицинских противопоказаний к владению оружием оформляется врачом медицинской организации, в которую обратился </w:t>
      </w:r>
      <w:proofErr w:type="spell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освидетельствуемый</w:t>
      </w:r>
      <w:proofErr w:type="spell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в соответствии с пунктом 14 настоящего Порядка, на основании справок врачей-специалистов, сведений, указанных в пункте 25 настоящего Порядка, в присутствии </w:t>
      </w:r>
      <w:proofErr w:type="spell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освидетельствуемого</w:t>
      </w:r>
      <w:proofErr w:type="spell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Срок действия медицинского заключения об отсутствии медицинских противопоказаний к владению оружием для получения лицензии на приобретение оружия составляет один год со дня его выдачи</w:t>
      </w:r>
      <w:proofErr w:type="gramStart"/>
      <w:r w:rsidRPr="004E72BB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4</w:t>
      </w:r>
      <w:proofErr w:type="gram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При отказе </w:t>
      </w:r>
      <w:proofErr w:type="spell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освидетельствуемого</w:t>
      </w:r>
      <w:proofErr w:type="spell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от прохождения медицинского освидетельствования или от прохождения хотя бы одного из медицинских осмотров врачами-специалистами и лабораторного исследования, предусмотренных пунктом 7 настоящего Порядка, а также химико-токсикологического исследования, оформленном в соответствии со статьей 20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</w:t>
      </w:r>
      <w:proofErr w:type="gramEnd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. </w:t>
      </w:r>
      <w:proofErr w:type="gramStart"/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6724; 2013, N 48, ст. 6165), медицинское заключение об отсутствии медицинских противопоказаний к владению оружием не оформляется.</w:t>
      </w:r>
      <w:proofErr w:type="gramEnd"/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27. Выданные медицинские заключения об отсутствии медицинских противопоказаний к владению оружием подлежат обязательной регистрации в Журнале регистрации выданных медицинских заключений об отсутствии медицинских противопоказаний к владению оружием, форма которого предусмотрена приложением N 3 к настоящему приказу.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i/>
          <w:iCs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4E72BB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>Собрание законодательства Российской Федерации, 2015, N 9, ст. 1328.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4E72BB">
        <w:rPr>
          <w:rFonts w:ascii="Arial" w:eastAsia="Times New Roman" w:hAnsi="Arial" w:cs="Arial"/>
          <w:i/>
          <w:iCs/>
          <w:color w:val="000000"/>
          <w:spacing w:val="3"/>
          <w:sz w:val="18"/>
          <w:szCs w:val="18"/>
          <w:vertAlign w:val="superscript"/>
          <w:lang w:eastAsia="ru-RU"/>
        </w:rPr>
        <w:lastRenderedPageBreak/>
        <w:t>2</w:t>
      </w:r>
      <w:r w:rsidRPr="004E72BB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>Статья 13 Федерального закона от 13 декабря 1996 г. N 150-ФЗ "Об оружии" (Собрание законодательства Российской Федерации, 1996, N 51, ст. 5681; 2011, N 1, ст. 10; 2012, N 29, ст. 3993; 2013, N 27, ст. 3477; 2014, N 14, ст. 1555; N 30, ст. 4228; 2015, N 1, ст. 76;</w:t>
      </w:r>
      <w:proofErr w:type="gramEnd"/>
      <w:r w:rsidRPr="004E72BB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 xml:space="preserve"> </w:t>
      </w:r>
      <w:proofErr w:type="gramStart"/>
      <w:r w:rsidRPr="004E72BB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>N 29, ст. 4356; 2016, N 1, ст. 28).</w:t>
      </w:r>
      <w:proofErr w:type="gramEnd"/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E72BB">
        <w:rPr>
          <w:rFonts w:ascii="Arial" w:eastAsia="Times New Roman" w:hAnsi="Arial" w:cs="Arial"/>
          <w:i/>
          <w:iCs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4E72BB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>Приказ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36160).</w:t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4E72BB">
        <w:rPr>
          <w:rFonts w:ascii="Arial" w:eastAsia="Times New Roman" w:hAnsi="Arial" w:cs="Arial"/>
          <w:i/>
          <w:iCs/>
          <w:color w:val="000000"/>
          <w:spacing w:val="3"/>
          <w:sz w:val="18"/>
          <w:szCs w:val="18"/>
          <w:vertAlign w:val="superscript"/>
          <w:lang w:eastAsia="ru-RU"/>
        </w:rPr>
        <w:t>4</w:t>
      </w:r>
      <w:r w:rsidRPr="004E72BB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>Статья 13 Федерального закона от 13 декабря 1996 г. N 150-ФЗ "Об оружии" (Собрание законодательства Российской Федерации, 1996, N 51, ст. 5681; 2011, N 1, ст. 10; 2012, N 29, ст. 3993; 2013, N 27, ст. 3477; 2014, N 14, ст. 1555; N 30, ст. 4228; 2015, N 1, ст. 76;</w:t>
      </w:r>
      <w:proofErr w:type="gramEnd"/>
      <w:r w:rsidRPr="004E72BB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 xml:space="preserve"> </w:t>
      </w:r>
      <w:proofErr w:type="gramStart"/>
      <w:r w:rsidRPr="004E72BB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>N 29, ст. 4356; 2016, N 1, ст. 28).</w:t>
      </w:r>
      <w:proofErr w:type="gramEnd"/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pacing w:val="3"/>
          <w:sz w:val="24"/>
          <w:szCs w:val="24"/>
          <w:lang w:eastAsia="ru-RU"/>
        </w:rPr>
        <w:drawing>
          <wp:inline distT="0" distB="0" distL="0" distR="0">
            <wp:extent cx="5715000" cy="3905250"/>
            <wp:effectExtent l="0" t="0" r="0" b="0"/>
            <wp:docPr id="3" name="Рисунок 3" descr="https://cdnimg.rg.ru/pril/134/03/03/7148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img.rg.ru/pril/134/03/03/7148_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pacing w:val="3"/>
          <w:sz w:val="24"/>
          <w:szCs w:val="24"/>
          <w:lang w:eastAsia="ru-RU"/>
        </w:rPr>
        <w:lastRenderedPageBreak/>
        <w:drawing>
          <wp:inline distT="0" distB="0" distL="0" distR="0">
            <wp:extent cx="5715000" cy="3524250"/>
            <wp:effectExtent l="0" t="0" r="0" b="0"/>
            <wp:docPr id="2" name="Рисунок 2" descr="https://cdnimg.rg.ru/pril/134/03/03/7148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img.rg.ru/pril/134/03/03/7148_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2BB" w:rsidRPr="004E72BB" w:rsidRDefault="004E72BB" w:rsidP="004E72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pacing w:val="3"/>
          <w:sz w:val="24"/>
          <w:szCs w:val="24"/>
          <w:lang w:eastAsia="ru-RU"/>
        </w:rPr>
        <w:drawing>
          <wp:inline distT="0" distB="0" distL="0" distR="0">
            <wp:extent cx="5810250" cy="4124325"/>
            <wp:effectExtent l="0" t="0" r="0" b="9525"/>
            <wp:docPr id="1" name="Рисунок 1" descr="https://cdnimg.rg.ru/pril/134/03/03/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img.rg.ru/pril/134/03/03/Untitled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07B" w:rsidRDefault="005D707B">
      <w:bookmarkStart w:id="0" w:name="_GoBack"/>
      <w:bookmarkEnd w:id="0"/>
    </w:p>
    <w:sectPr w:rsidR="005D7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BB"/>
    <w:rsid w:val="004E72BB"/>
    <w:rsid w:val="005D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72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E72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2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72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E7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72BB"/>
  </w:style>
  <w:style w:type="paragraph" w:styleId="a4">
    <w:name w:val="Balloon Text"/>
    <w:basedOn w:val="a"/>
    <w:link w:val="a5"/>
    <w:uiPriority w:val="99"/>
    <w:semiHidden/>
    <w:unhideWhenUsed/>
    <w:rsid w:val="004E7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7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72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E72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2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72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E7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72BB"/>
  </w:style>
  <w:style w:type="paragraph" w:styleId="a4">
    <w:name w:val="Balloon Text"/>
    <w:basedOn w:val="a"/>
    <w:link w:val="a5"/>
    <w:uiPriority w:val="99"/>
    <w:semiHidden/>
    <w:unhideWhenUsed/>
    <w:rsid w:val="004E7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7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716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265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2765</Words>
  <Characters>15762</Characters>
  <Application>Microsoft Office Word</Application>
  <DocSecurity>0</DocSecurity>
  <Lines>131</Lines>
  <Paragraphs>36</Paragraphs>
  <ScaleCrop>false</ScaleCrop>
  <Company>SPecialiST RePack</Company>
  <LinksUpToDate>false</LinksUpToDate>
  <CharactersWithSpaces>18491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PROFMED</dc:creator>
  <cp:lastModifiedBy>PROFMED</cp:lastModifiedBy>
  <cp:revision>1</cp:revision>
  <dcterms:created xsi:type="dcterms:W3CDTF">2017-02-20T15:46:00Z</dcterms:created>
  <dcterms:modified xsi:type="dcterms:W3CDTF">2017-02-20T15:46:00Z</dcterms:modified>
</cp:coreProperties>
</file>